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PrChange w:id="25" w:author="贺建质" w:date="2020-11-09T09:29:30Z">
            <w:rPr>
              <w:rFonts w:hint="eastAsia" w:ascii="仿宋_GB2312" w:hAnsi="黑体" w:eastAsia="仿宋_GB2312" w:cs="仿宋_GB2312"/>
              <w:sz w:val="32"/>
              <w:szCs w:val="32"/>
            </w:rPr>
          </w:rPrChange>
        </w:rPr>
        <w:t>附件</w:t>
      </w:r>
      <w:r>
        <w:rPr>
          <w:rFonts w:hint="eastAsia" w:ascii="黑体" w:hAnsi="黑体" w:eastAsia="黑体" w:cs="黑体"/>
          <w:sz w:val="32"/>
          <w:szCs w:val="32"/>
          <w:rPrChange w:id="26" w:author="贺建质" w:date="2020-11-09T09:29:30Z">
            <w:rPr>
              <w:rFonts w:ascii="仿宋_GB2312" w:hAnsi="黑体" w:eastAsia="仿宋_GB2312" w:cs="仿宋_GB2312"/>
              <w:sz w:val="32"/>
              <w:szCs w:val="32"/>
            </w:rPr>
          </w:rPrChange>
        </w:rPr>
        <w:t>3</w:t>
      </w:r>
      <w:del w:id="27" w:author="贺建质" w:date="2020-11-09T09:29:08Z">
        <w:r>
          <w:rPr>
            <w:rFonts w:hint="eastAsia" w:ascii="仿宋_GB2312" w:hAnsi="黑体" w:eastAsia="仿宋_GB2312" w:cs="仿宋_GB2312"/>
            <w:sz w:val="32"/>
            <w:szCs w:val="32"/>
          </w:rPr>
          <w:delText>：</w:delText>
        </w:r>
      </w:del>
    </w:p>
    <w:p>
      <w:pPr>
        <w:snapToGrid w:val="0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股权投资标的信息表（一）</w:t>
      </w:r>
    </w:p>
    <w:tbl>
      <w:tblPr>
        <w:tblStyle w:val="5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50"/>
        <w:gridCol w:w="1154"/>
        <w:gridCol w:w="714"/>
        <w:gridCol w:w="581"/>
        <w:gridCol w:w="1440"/>
        <w:gridCol w:w="1443"/>
        <w:gridCol w:w="853"/>
        <w:gridCol w:w="37"/>
        <w:gridCol w:w="695"/>
        <w:gridCol w:w="1582"/>
        <w:gridCol w:w="578"/>
        <w:gridCol w:w="428"/>
        <w:gridCol w:w="995"/>
        <w:gridCol w:w="1233"/>
        <w:gridCol w:w="227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  <w:jc w:val="center"/>
        </w:trPr>
        <w:tc>
          <w:tcPr>
            <w:tcW w:w="7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基本信息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企业名称（盖章）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财务指标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年度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2019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2018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2017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注册资本（万元）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总资产（万元）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注册地址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主营收入（万元）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企业类型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净利润（万元）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成立时间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资产负债率（</w:t>
            </w:r>
            <w:r>
              <w:rPr>
                <w:rFonts w:ascii="仿宋_GB2312" w:hAnsi="黑体" w:eastAsia="仿宋_GB2312" w:cs="仿宋_GB2312"/>
                <w:color w:val="000000"/>
              </w:rPr>
              <w:t>%</w:t>
            </w:r>
            <w:r>
              <w:rPr>
                <w:rFonts w:hint="eastAsia" w:ascii="仿宋_GB2312" w:hAnsi="黑体" w:eastAsia="仿宋_GB2312" w:cs="仿宋_GB2312"/>
                <w:color w:val="000000"/>
              </w:rPr>
              <w:t>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主营业务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研发投入（万元）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主营业务所属领域</w: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instrText xml:space="preserve">,1)</w:instrTex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fldChar w:fldCharType="end"/>
            </w:r>
          </w:p>
        </w:tc>
        <w:tc>
          <w:tcPr>
            <w:tcW w:w="4317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□基础制造</w:t>
            </w:r>
            <w:r>
              <w:rPr>
                <w:rFonts w:ascii="仿宋_GB2312" w:eastAsia="仿宋_GB2312" w:cs="仿宋_GB2312"/>
              </w:rPr>
              <w:t>-</w:t>
            </w:r>
            <w:r>
              <w:rPr>
                <w:rFonts w:hint="eastAsia" w:ascii="仿宋_GB2312" w:eastAsia="仿宋_GB2312" w:cs="仿宋_GB2312"/>
              </w:rPr>
              <w:t>航空发动机和燃气轮机产业链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□基础制造</w:t>
            </w:r>
            <w:r>
              <w:rPr>
                <w:rFonts w:ascii="仿宋_GB2312" w:eastAsia="仿宋_GB2312" w:cs="仿宋_GB2312"/>
              </w:rPr>
              <w:t>-</w:t>
            </w:r>
            <w:r>
              <w:rPr>
                <w:rFonts w:hint="eastAsia" w:ascii="仿宋_GB2312" w:eastAsia="仿宋_GB2312" w:cs="仿宋_GB2312"/>
              </w:rPr>
              <w:t>数控机床产业链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□基础制造</w:t>
            </w:r>
            <w:r>
              <w:rPr>
                <w:rFonts w:ascii="仿宋_GB2312" w:eastAsia="仿宋_GB2312" w:cs="仿宋_GB2312"/>
              </w:rPr>
              <w:t>-</w:t>
            </w:r>
            <w:r>
              <w:rPr>
                <w:rFonts w:hint="eastAsia" w:ascii="仿宋_GB2312" w:eastAsia="仿宋_GB2312" w:cs="仿宋_GB2312"/>
              </w:rPr>
              <w:t>工业机器人产业链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□基础制造</w:t>
            </w:r>
            <w:r>
              <w:rPr>
                <w:rFonts w:ascii="仿宋_GB2312" w:eastAsia="仿宋_GB2312" w:cs="仿宋_GB2312"/>
              </w:rPr>
              <w:t>-</w:t>
            </w:r>
            <w:r>
              <w:rPr>
                <w:rFonts w:hint="eastAsia" w:ascii="仿宋_GB2312" w:eastAsia="仿宋_GB2312" w:cs="仿宋_GB2312"/>
              </w:rPr>
              <w:t>轨道交通产业链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□基础制造</w:t>
            </w:r>
            <w:r>
              <w:rPr>
                <w:rFonts w:ascii="仿宋_GB2312" w:eastAsia="仿宋_GB2312" w:cs="仿宋_GB2312"/>
              </w:rPr>
              <w:t>-</w:t>
            </w:r>
            <w:r>
              <w:rPr>
                <w:rFonts w:hint="eastAsia" w:ascii="仿宋_GB2312" w:eastAsia="仿宋_GB2312" w:cs="仿宋_GB2312"/>
              </w:rPr>
              <w:t>汽车零部件产业链</w:t>
            </w: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政府补贴（万元）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317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融资需求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拟股权融资金额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（万元）</w:t>
            </w:r>
          </w:p>
        </w:tc>
        <w:tc>
          <w:tcPr>
            <w:tcW w:w="423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4317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拟融资时间和用途</w:t>
            </w:r>
          </w:p>
        </w:tc>
        <w:tc>
          <w:tcPr>
            <w:tcW w:w="423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业务模式</w:t>
            </w:r>
          </w:p>
        </w:tc>
        <w:tc>
          <w:tcPr>
            <w:tcW w:w="11441" w:type="dxa"/>
            <w:gridSpan w:val="1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□核心工艺开发涉及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□技术或系统集成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□委外加工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□自主生产线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□底层技术研究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□其他模式补充：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产品及技术情况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1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产品名称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产业链条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position w:val="10"/>
                <w:sz w:val="11"/>
                <w:szCs w:val="11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position w:val="10"/>
                <w:sz w:val="11"/>
                <w:szCs w:val="11"/>
              </w:rPr>
              <w:instrText xml:space="preserve">,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2)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hAnsi="黑体" w:eastAsia="仿宋_GB2312" w:cs="仿宋_GB2312"/>
                <w:b/>
                <w:bCs/>
                <w:color w:val="000000"/>
              </w:rPr>
              <w:t>2019</w: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年市场占有率</w:t>
            </w: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hAnsi="黑体" w:eastAsia="仿宋_GB2312" w:cs="仿宋_GB2312"/>
                <w:b/>
                <w:bCs/>
                <w:color w:val="000000"/>
              </w:rPr>
              <w:t>2019</w: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年市场销量排名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技术成熟度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position w:val="9"/>
                <w:sz w:val="16"/>
                <w:szCs w:val="16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position w:val="11"/>
                <w:sz w:val="11"/>
                <w:szCs w:val="11"/>
              </w:rPr>
              <w:instrText xml:space="preserve">,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3)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5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技术成熟度的标志性要素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核心技术来源</w:t>
            </w:r>
          </w:p>
        </w:tc>
        <w:tc>
          <w:tcPr>
            <w:tcW w:w="995" w:type="dxa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市场空间测算</w:t>
            </w: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行业对标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,4)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行业壁垒特征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,5)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1</w:t>
            </w:r>
          </w:p>
        </w:tc>
        <w:tc>
          <w:tcPr>
            <w:tcW w:w="115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440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443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82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995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233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2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3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4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top"/>
          </w:tcPr>
          <w:p>
            <w:pPr>
              <w:adjustRightInd w:val="0"/>
              <w:snapToGrid w:val="0"/>
              <w:jc w:val="center"/>
              <w:rPr>
                <w:rFonts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87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财务预测：</w:t>
            </w:r>
          </w:p>
        </w:tc>
        <w:tc>
          <w:tcPr>
            <w:tcW w:w="7087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估值情况：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087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交易方案：</w:t>
            </w:r>
          </w:p>
        </w:tc>
        <w:tc>
          <w:tcPr>
            <w:tcW w:w="7087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预期退出安排：</w:t>
            </w:r>
          </w:p>
        </w:tc>
      </w:tr>
    </w:tbl>
    <w:p>
      <w:pPr>
        <w:rPr>
          <w:rFonts w:ascii="仿宋_GB2312" w:eastAsia="仿宋_GB2312" w:cs="Times New Roman"/>
          <w:b/>
          <w:bCs/>
          <w:sz w:val="18"/>
          <w:szCs w:val="18"/>
        </w:rPr>
      </w:pPr>
      <w:r>
        <w:rPr>
          <w:rFonts w:hint="eastAsia" w:ascii="仿宋_GB2312" w:eastAsia="仿宋_GB2312" w:cs="仿宋_GB2312"/>
          <w:b/>
          <w:bCs/>
          <w:sz w:val="18"/>
          <w:szCs w:val="18"/>
        </w:rPr>
        <w:t>填写说明：</w:t>
      </w:r>
    </w:p>
    <w:p>
      <w:pPr>
        <w:rPr>
          <w:rFonts w:ascii="仿宋_GB2312" w:eastAsia="仿宋_GB2312" w:cs="Times New Roman"/>
          <w:b/>
          <w:bCs/>
          <w:sz w:val="18"/>
          <w:szCs w:val="18"/>
        </w:rPr>
      </w:pPr>
      <w:r>
        <w:rPr>
          <w:rFonts w:ascii="仿宋_GB2312" w:hAnsi="黑体" w:eastAsia="仿宋_GB2312" w:cs="仿宋_GB2312"/>
          <w:color w:val="000000"/>
        </w:rPr>
        <w:fldChar w:fldCharType="begin"/>
      </w:r>
      <w:r>
        <w:rPr>
          <w:rFonts w:ascii="仿宋_GB2312" w:hAnsi="黑体" w:eastAsia="仿宋_GB2312" w:cs="仿宋_GB2312"/>
          <w:color w:val="000000"/>
        </w:rPr>
        <w:instrText xml:space="preserve">eq \o\ac(</w:instrText>
      </w:r>
      <w:r>
        <w:rPr>
          <w:rFonts w:hint="eastAsia" w:ascii="仿宋_GB2312" w:hAnsi="黑体" w:eastAsia="仿宋_GB2312" w:cs="仿宋_GB2312"/>
          <w:color w:val="000000"/>
        </w:rPr>
        <w:instrText xml:space="preserve">○</w:instrText>
      </w:r>
      <w:r>
        <w:rPr>
          <w:rFonts w:ascii="仿宋_GB2312" w:hAnsi="黑体" w:eastAsia="仿宋_GB2312" w:cs="仿宋_GB2312"/>
          <w:color w:val="000000"/>
        </w:rPr>
        <w:instrText xml:space="preserve">,1)</w:instrText>
      </w:r>
      <w:r>
        <w:rPr>
          <w:rFonts w:ascii="仿宋_GB2312" w:hAnsi="黑体" w:eastAsia="仿宋_GB2312" w:cs="仿宋_GB2312"/>
          <w:color w:val="000000"/>
        </w:rPr>
        <w:fldChar w:fldCharType="end"/>
      </w:r>
      <w:r>
        <w:rPr>
          <w:rFonts w:hint="eastAsia" w:ascii="仿宋_GB2312" w:hAnsi="黑体" w:eastAsia="仿宋_GB2312" w:cs="仿宋_GB2312"/>
          <w:color w:val="000000"/>
        </w:rPr>
        <w:t>主营业务所属领域：</w:t>
      </w:r>
      <w:r>
        <w:rPr>
          <w:rFonts w:ascii="仿宋_GB2312" w:hAnsi="黑体" w:eastAsia="仿宋_GB2312" w:cs="仿宋_GB2312"/>
          <w:color w:val="000000"/>
        </w:rPr>
        <w:t>5</w:t>
      </w:r>
      <w:r>
        <w:rPr>
          <w:rFonts w:hint="eastAsia" w:ascii="仿宋_GB2312" w:hAnsi="黑体" w:eastAsia="仿宋_GB2312" w:cs="仿宋_GB2312"/>
          <w:color w:val="000000"/>
        </w:rPr>
        <w:t>个纵向产业链中，重点关注以下横向方向</w:t>
      </w:r>
      <w:r>
        <w:rPr>
          <w:rFonts w:ascii="仿宋_GB2312" w:hAnsi="黑体" w:eastAsia="仿宋_GB2312" w:cs="仿宋_GB2312"/>
          <w:color w:val="000000"/>
        </w:rPr>
        <w:t>——</w:t>
      </w:r>
      <w:r>
        <w:rPr>
          <w:rFonts w:hint="eastAsia" w:ascii="仿宋_GB2312" w:hAnsi="黑体" w:eastAsia="仿宋_GB2312" w:cs="仿宋_GB2312"/>
          <w:color w:val="000000"/>
        </w:rPr>
        <w:t>高档数控机床和基础制造装备、关键仪器仪表、核心基础零部件（元器）、绿色制造、服务型和生产性服务业、先进基础工艺以及制造转型升级其他领域。</w:t>
      </w:r>
    </w:p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,2)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产业链条：从一级产业链填写至本企业产品级，如汽车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发动机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曲轴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球墨铸铁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钢铁；</w:t>
      </w:r>
    </w:p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,3)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技术成熟度按照下表填写：</w:t>
      </w:r>
    </w:p>
    <w:tbl>
      <w:tblPr>
        <w:tblStyle w:val="5"/>
        <w:tblW w:w="1417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363"/>
        <w:gridCol w:w="2362"/>
        <w:gridCol w:w="2362"/>
        <w:gridCol w:w="2362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13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回报级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24"/>
                <w:sz w:val="18"/>
                <w:szCs w:val="18"/>
              </w:rPr>
              <w:t>回收投资并持续盈利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6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正样级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相关环境中的系统样机演示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12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利润级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项目开始盈利并持续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5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初样级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相关环境中的部件仿真验证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11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盈亏级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达到盈亏平衡点</w:t>
            </w: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△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4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功能级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相关环境中关键件仿真验证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10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销售级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24"/>
                <w:sz w:val="18"/>
                <w:szCs w:val="18"/>
              </w:rPr>
              <w:t>第一笔销售收入到款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3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仿真级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关键功能实验结论成立▲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9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系统级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实际通过任务运行成功考验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2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方案级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形成了技术概念</w:t>
            </w:r>
            <w:r>
              <w:rPr>
                <w:rFonts w:ascii="仿宋_GB2312" w:hAnsi="黑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8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产品级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实际系统完成并通过验证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报告级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观察到基本原理并形成报告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7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环境级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在实际环境中系统样机试验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,4)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行业对标：选择独占技术、进口替代之一，并填写国内外对标龙头企业；</w:t>
      </w:r>
    </w:p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,5)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行业壁垒特征：选择技术专利、许可，设计及工艺，重资产长期投资，规模化壁垒，其他市场特殊壁垒之一。</w:t>
      </w:r>
    </w:p>
    <w:p>
      <w:pPr>
        <w:rPr>
          <w:rFonts w:ascii="仿宋_GB2312" w:eastAsia="仿宋_GB2312" w:cs="Times New Roman"/>
          <w:sz w:val="18"/>
          <w:szCs w:val="18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pgNumType w:fmt="decimal" w:start="6"/>
          <w:cols w:space="720" w:num="1"/>
          <w:docGrid w:type="lines" w:linePitch="312" w:charSpace="0"/>
        </w:sect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,6)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本表只适用于基础制造领域。</w:t>
      </w:r>
    </w:p>
    <w:p>
      <w:pPr>
        <w:snapToGrid w:val="0"/>
        <w:jc w:val="center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股权投资标的信息表（二）</w:t>
      </w:r>
    </w:p>
    <w:tbl>
      <w:tblPr>
        <w:tblStyle w:val="5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50"/>
        <w:gridCol w:w="1154"/>
        <w:gridCol w:w="714"/>
        <w:gridCol w:w="581"/>
        <w:gridCol w:w="1440"/>
        <w:gridCol w:w="1443"/>
        <w:gridCol w:w="853"/>
        <w:gridCol w:w="37"/>
        <w:gridCol w:w="695"/>
        <w:gridCol w:w="1582"/>
        <w:gridCol w:w="578"/>
        <w:gridCol w:w="428"/>
        <w:gridCol w:w="995"/>
        <w:gridCol w:w="1233"/>
        <w:gridCol w:w="227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  <w:jc w:val="center"/>
        </w:trPr>
        <w:tc>
          <w:tcPr>
            <w:tcW w:w="7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基本信息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企业名称（盖章）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财务指标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年度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2019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2018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/>
              </w:rPr>
              <w:t>2017</w:t>
            </w:r>
            <w:r>
              <w:rPr>
                <w:rFonts w:hint="eastAsia" w:ascii="仿宋_GB2312" w:eastAsia="仿宋_GB2312" w:cs="仿宋_GB231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注册资本（万元）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总资产（万元）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注册地址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主营收入（万元）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企业类型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净利润（万元）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成立时间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资产负债率（</w:t>
            </w:r>
            <w:r>
              <w:rPr>
                <w:rFonts w:ascii="仿宋_GB2312" w:hAnsi="黑体" w:eastAsia="仿宋_GB2312" w:cs="仿宋_GB2312"/>
                <w:color w:val="000000"/>
              </w:rPr>
              <w:t>%</w:t>
            </w:r>
            <w:r>
              <w:rPr>
                <w:rFonts w:hint="eastAsia" w:ascii="仿宋_GB2312" w:hAnsi="黑体" w:eastAsia="仿宋_GB2312" w:cs="仿宋_GB2312"/>
                <w:color w:val="000000"/>
              </w:rPr>
              <w:t>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主营业务</w:t>
            </w:r>
          </w:p>
        </w:tc>
        <w:tc>
          <w:tcPr>
            <w:tcW w:w="43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研发投入（万元）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主营业务所属领域</w: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instrText xml:space="preserve">,1)</w:instrText>
            </w:r>
            <w:r>
              <w:rPr>
                <w:rFonts w:ascii="仿宋_GB2312" w:hAnsi="黑体" w:eastAsia="仿宋_GB2312" w:cs="仿宋_GB2312"/>
                <w:color w:val="000000"/>
                <w:vertAlign w:val="superscript"/>
              </w:rPr>
              <w:fldChar w:fldCharType="end"/>
            </w:r>
          </w:p>
        </w:tc>
        <w:tc>
          <w:tcPr>
            <w:tcW w:w="4317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□新一代信息技术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□新材料（金属化工新材料）</w:t>
            </w:r>
          </w:p>
          <w:p>
            <w:pPr>
              <w:adjustRightInd w:val="0"/>
              <w:snapToGrid w:val="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□新材料（无机非金属新材料）</w:t>
            </w:r>
          </w:p>
          <w:p>
            <w:pPr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□电力装备</w:t>
            </w: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政府补贴（万元）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4317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融资需求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拟股权融资金额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（万元）</w:t>
            </w:r>
          </w:p>
        </w:tc>
        <w:tc>
          <w:tcPr>
            <w:tcW w:w="423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4317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拟融资时间和用途</w:t>
            </w:r>
          </w:p>
        </w:tc>
        <w:tc>
          <w:tcPr>
            <w:tcW w:w="423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业务模式</w:t>
            </w:r>
          </w:p>
        </w:tc>
        <w:tc>
          <w:tcPr>
            <w:tcW w:w="11441" w:type="dxa"/>
            <w:gridSpan w:val="1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仿宋_GB2312"/>
              </w:rPr>
              <w:t>□核心工艺开发涉及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□技术或系统集成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□委外加工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□自主生产线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□底层技术研究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□其他模式补充：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产品及技术情况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1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产品名称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产业链条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position w:val="10"/>
                <w:sz w:val="11"/>
                <w:szCs w:val="11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position w:val="10"/>
                <w:sz w:val="11"/>
                <w:szCs w:val="11"/>
              </w:rPr>
              <w:instrText xml:space="preserve">,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2)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hAnsi="黑体" w:eastAsia="仿宋_GB2312" w:cs="仿宋_GB2312"/>
                <w:b/>
                <w:bCs/>
                <w:color w:val="000000"/>
              </w:rPr>
              <w:t>2019</w: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年市场占有率</w:t>
            </w: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ascii="仿宋_GB2312" w:hAnsi="黑体" w:eastAsia="仿宋_GB2312" w:cs="仿宋_GB2312"/>
                <w:b/>
                <w:bCs/>
                <w:color w:val="000000"/>
              </w:rPr>
              <w:t>2019</w: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年市场销量排名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技术成熟度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position w:val="9"/>
                <w:sz w:val="16"/>
                <w:szCs w:val="16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position w:val="11"/>
                <w:sz w:val="11"/>
                <w:szCs w:val="11"/>
              </w:rPr>
              <w:instrText xml:space="preserve">,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3)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5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技术成熟度的标志性要素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核心技术来源</w:t>
            </w:r>
          </w:p>
        </w:tc>
        <w:tc>
          <w:tcPr>
            <w:tcW w:w="995" w:type="dxa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市场空间测算</w:t>
            </w:r>
          </w:p>
        </w:tc>
        <w:tc>
          <w:tcPr>
            <w:tcW w:w="12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行业对标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,4)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行业壁垒特征</w: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begin"/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eq \o\ac(</w:instrText>
            </w: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○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instrText xml:space="preserve">,5)</w:instrText>
            </w:r>
            <w:r>
              <w:rPr>
                <w:rFonts w:ascii="仿宋_GB2312" w:hAnsi="黑体" w:eastAsia="仿宋_GB2312" w:cs="仿宋_GB2312"/>
                <w:b/>
                <w:bCs/>
                <w:color w:val="000000"/>
                <w:vertAlign w:val="superscript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1</w:t>
            </w:r>
          </w:p>
        </w:tc>
        <w:tc>
          <w:tcPr>
            <w:tcW w:w="115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440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443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82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995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233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2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3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仿宋_GB2312"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</w:rPr>
              <w:t>产品</w:t>
            </w:r>
            <w:r>
              <w:rPr>
                <w:rFonts w:ascii="仿宋_GB2312" w:hAnsi="黑体" w:eastAsia="仿宋_GB2312" w:cs="仿宋_GB2312"/>
                <w:color w:val="000000"/>
              </w:rPr>
              <w:t>4</w:t>
            </w:r>
          </w:p>
        </w:tc>
        <w:tc>
          <w:tcPr>
            <w:tcW w:w="1154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95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0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44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5" w:type="dxa"/>
            <w:gridSpan w:val="3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82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00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cs="Times New Roman"/>
              </w:rPr>
            </w:pPr>
          </w:p>
        </w:tc>
        <w:tc>
          <w:tcPr>
            <w:tcW w:w="1576" w:type="dxa"/>
            <w:gridSpan w:val="2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7"/>
            <w:vAlign w:val="top"/>
          </w:tcPr>
          <w:p>
            <w:pPr>
              <w:adjustRightInd w:val="0"/>
              <w:snapToGrid w:val="0"/>
              <w:jc w:val="center"/>
              <w:rPr>
                <w:rFonts w:cs="Times New Roma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087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财务预测：</w:t>
            </w:r>
          </w:p>
        </w:tc>
        <w:tc>
          <w:tcPr>
            <w:tcW w:w="7087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估值情况：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087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交易方案：</w:t>
            </w:r>
          </w:p>
        </w:tc>
        <w:tc>
          <w:tcPr>
            <w:tcW w:w="7087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预期退出安排：</w:t>
            </w:r>
          </w:p>
        </w:tc>
      </w:tr>
    </w:tbl>
    <w:p>
      <w:pPr>
        <w:rPr>
          <w:rFonts w:ascii="仿宋_GB2312" w:eastAsia="仿宋_GB2312" w:cs="Times New Roman"/>
          <w:b/>
          <w:bCs/>
          <w:sz w:val="18"/>
          <w:szCs w:val="18"/>
        </w:rPr>
      </w:pPr>
      <w:r>
        <w:rPr>
          <w:rFonts w:hint="eastAsia" w:ascii="仿宋_GB2312" w:eastAsia="仿宋_GB2312" w:cs="仿宋_GB2312"/>
          <w:b/>
          <w:bCs/>
          <w:sz w:val="18"/>
          <w:szCs w:val="18"/>
        </w:rPr>
        <w:t>填写说明：</w:t>
      </w:r>
    </w:p>
    <w:p>
      <w:pPr>
        <w:rPr>
          <w:rFonts w:ascii="仿宋_GB2312" w:eastAsia="仿宋_GB2312" w:cs="Times New Roman"/>
          <w:b/>
          <w:bCs/>
          <w:sz w:val="18"/>
          <w:szCs w:val="18"/>
        </w:rPr>
      </w:pPr>
      <w:r>
        <w:rPr>
          <w:rFonts w:ascii="仿宋_GB2312" w:hAnsi="黑体" w:eastAsia="仿宋_GB2312" w:cs="仿宋_GB2312"/>
          <w:color w:val="000000"/>
        </w:rPr>
        <w:fldChar w:fldCharType="begin"/>
      </w:r>
      <w:r>
        <w:rPr>
          <w:rFonts w:ascii="仿宋_GB2312" w:hAnsi="黑体" w:eastAsia="仿宋_GB2312" w:cs="仿宋_GB2312"/>
          <w:color w:val="000000"/>
        </w:rPr>
        <w:instrText xml:space="preserve">eq \o\ac(</w:instrText>
      </w:r>
      <w:r>
        <w:rPr>
          <w:rFonts w:hint="eastAsia" w:ascii="仿宋_GB2312" w:hAnsi="黑体" w:eastAsia="仿宋_GB2312" w:cs="仿宋_GB2312"/>
          <w:color w:val="000000"/>
        </w:rPr>
        <w:instrText xml:space="preserve">○</w:instrText>
      </w:r>
      <w:r>
        <w:rPr>
          <w:rFonts w:ascii="仿宋_GB2312" w:hAnsi="黑体" w:eastAsia="仿宋_GB2312" w:cs="仿宋_GB2312"/>
          <w:color w:val="000000"/>
        </w:rPr>
        <w:instrText xml:space="preserve">,1)</w:instrText>
      </w:r>
      <w:r>
        <w:rPr>
          <w:rFonts w:ascii="仿宋_GB2312" w:hAnsi="黑体" w:eastAsia="仿宋_GB2312" w:cs="仿宋_GB2312"/>
          <w:color w:val="000000"/>
        </w:rPr>
        <w:fldChar w:fldCharType="end"/>
      </w:r>
      <w:r>
        <w:rPr>
          <w:rFonts w:hint="eastAsia" w:ascii="仿宋_GB2312" w:hAnsi="黑体" w:eastAsia="仿宋_GB2312" w:cs="仿宋_GB2312"/>
          <w:color w:val="000000"/>
        </w:rPr>
        <w:t>主营业务所属领域：</w:t>
      </w:r>
      <w:r>
        <w:rPr>
          <w:rFonts w:ascii="仿宋_GB2312" w:hAnsi="黑体" w:eastAsia="仿宋_GB2312" w:cs="仿宋_GB2312"/>
          <w:color w:val="000000"/>
        </w:rPr>
        <w:t>5</w:t>
      </w:r>
      <w:r>
        <w:rPr>
          <w:rFonts w:hint="eastAsia" w:ascii="仿宋_GB2312" w:hAnsi="黑体" w:eastAsia="仿宋_GB2312" w:cs="仿宋_GB2312"/>
          <w:color w:val="000000"/>
        </w:rPr>
        <w:t>个纵向产业链中，重点关注以下横向方向</w:t>
      </w:r>
      <w:r>
        <w:rPr>
          <w:rFonts w:ascii="仿宋_GB2312" w:hAnsi="黑体" w:eastAsia="仿宋_GB2312" w:cs="仿宋_GB2312"/>
          <w:color w:val="000000"/>
        </w:rPr>
        <w:t>——</w:t>
      </w:r>
      <w:r>
        <w:rPr>
          <w:rFonts w:hint="eastAsia" w:ascii="仿宋_GB2312" w:hAnsi="黑体" w:eastAsia="仿宋_GB2312" w:cs="仿宋_GB2312"/>
          <w:color w:val="000000"/>
        </w:rPr>
        <w:t>高档数控机床和基础制造装备、关键仪器仪表、核心基础零部件（元器）、绿色制造、服务型和生产性服务业、先进基础工艺以及制造转型升级其他领域。</w:t>
      </w:r>
    </w:p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,2)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产业链条：从一级产业链填写至本企业产品级，如汽车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发动机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曲轴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球墨铸铁</w:t>
      </w:r>
      <w:r>
        <w:rPr>
          <w:rFonts w:ascii="仿宋_GB2312" w:eastAsia="仿宋_GB2312" w:cs="仿宋_GB2312"/>
          <w:sz w:val="18"/>
          <w:szCs w:val="18"/>
        </w:rPr>
        <w:t>-</w:t>
      </w:r>
      <w:r>
        <w:rPr>
          <w:rFonts w:hint="eastAsia" w:ascii="仿宋_GB2312" w:eastAsia="仿宋_GB2312" w:cs="仿宋_GB2312"/>
          <w:sz w:val="18"/>
          <w:szCs w:val="18"/>
        </w:rPr>
        <w:t>钢铁；</w:t>
      </w:r>
    </w:p>
    <w:p>
      <w:pPr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,3)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技术成熟度按照下表填写：</w:t>
      </w:r>
    </w:p>
    <w:tbl>
      <w:tblPr>
        <w:tblStyle w:val="5"/>
        <w:tblW w:w="1417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363"/>
        <w:gridCol w:w="2362"/>
        <w:gridCol w:w="2362"/>
        <w:gridCol w:w="2362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13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回报级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24"/>
                <w:sz w:val="18"/>
                <w:szCs w:val="18"/>
              </w:rPr>
              <w:t>回收投资并持续盈利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6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正样级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相关环境中的系统样机演示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12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利润级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项目开始盈利并持续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5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初样级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相关环境中的部件仿真验证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11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盈亏级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达到盈亏平衡点</w:t>
            </w: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△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4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功能级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相关环境中关键件仿真验证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10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销售级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24"/>
                <w:sz w:val="18"/>
                <w:szCs w:val="18"/>
              </w:rPr>
              <w:t>第一笔销售收入到款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3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仿真级</w:t>
            </w:r>
          </w:p>
        </w:tc>
        <w:tc>
          <w:tcPr>
            <w:tcW w:w="2362" w:type="dxa"/>
            <w:vAlign w:val="center"/>
          </w:tcPr>
          <w:p>
            <w:pPr>
              <w:spacing w:line="264" w:lineRule="auto"/>
              <w:jc w:val="center"/>
              <w:rPr>
                <w:rFonts w:ascii="仿宋_GB2312" w:hAnsi="黑体" w:eastAsia="仿宋_GB2312" w:cs="Times New Roman"/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关键功能实验结论成立▲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9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系统级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实际通过任务运行成功考验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2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方案级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形成了技术概念</w:t>
            </w:r>
            <w:r>
              <w:rPr>
                <w:rFonts w:ascii="仿宋_GB2312" w:hAnsi="黑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8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产品级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实际系统完成并通过验证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1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报告级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观察到基本原理并形成报告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第</w:t>
            </w:r>
            <w:r>
              <w:rPr>
                <w:rFonts w:ascii="仿宋_GB2312" w:hAnsi="黑体" w:eastAsia="仿宋_GB2312" w:cs="仿宋_GB2312"/>
                <w:sz w:val="18"/>
                <w:szCs w:val="18"/>
              </w:rPr>
              <w:t>7</w:t>
            </w: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级</w:t>
            </w:r>
          </w:p>
        </w:tc>
        <w:tc>
          <w:tcPr>
            <w:tcW w:w="2363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sz w:val="18"/>
                <w:szCs w:val="18"/>
              </w:rPr>
              <w:t>环境级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黑体" w:eastAsia="仿宋_GB2312" w:cs="仿宋_GB2312"/>
                <w:kern w:val="0"/>
                <w:sz w:val="18"/>
                <w:szCs w:val="18"/>
              </w:rPr>
              <w:t>在实际环境中系统样机试验</w:t>
            </w: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黑体" w:eastAsia="仿宋_GB2312" w:cs="Times New Roman"/>
                <w:kern w:val="0"/>
                <w:sz w:val="18"/>
                <w:szCs w:val="18"/>
              </w:rPr>
            </w:pPr>
          </w:p>
        </w:tc>
      </w:tr>
    </w:tbl>
    <w:p>
      <w:pPr>
        <w:jc w:val="left"/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,4)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行业对标：选择独占技术、进口替代之一，并填写国内外对标龙头企业；</w:t>
      </w:r>
    </w:p>
    <w:p>
      <w:pPr>
        <w:jc w:val="left"/>
        <w:rPr>
          <w:rFonts w:ascii="仿宋_GB2312" w:eastAsia="仿宋_GB2312" w:cs="Times New Roman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,5)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行业壁垒特征：选择技术专利、许可，涉及及工艺，重资产长期投资，规模化壁垒，其他市场特殊壁垒之一。</w:t>
      </w:r>
    </w:p>
    <w:p>
      <w:pPr>
        <w:jc w:val="left"/>
        <w:rPr>
          <w:rFonts w:ascii="黑体" w:hAnsi="黑体" w:eastAsia="黑体" w:cs="Times New Roman"/>
          <w:sz w:val="36"/>
          <w:szCs w:val="36"/>
        </w:rPr>
      </w:pPr>
      <w:r>
        <w:rPr>
          <w:rFonts w:ascii="仿宋_GB2312" w:eastAsia="仿宋_GB2312" w:cs="仿宋_GB2312"/>
          <w:sz w:val="18"/>
          <w:szCs w:val="18"/>
        </w:rPr>
        <w:fldChar w:fldCharType="begin"/>
      </w:r>
      <w:r>
        <w:rPr>
          <w:rFonts w:ascii="仿宋_GB2312" w:eastAsia="仿宋_GB2312" w:cs="仿宋_GB2312"/>
          <w:sz w:val="18"/>
          <w:szCs w:val="18"/>
        </w:rPr>
        <w:instrText xml:space="preserve">eq \o\ac(</w:instrText>
      </w:r>
      <w:r>
        <w:rPr>
          <w:rFonts w:hint="eastAsia" w:ascii="仿宋_GB2312" w:eastAsia="仿宋_GB2312" w:cs="仿宋_GB2312"/>
          <w:sz w:val="18"/>
          <w:szCs w:val="18"/>
        </w:rPr>
        <w:instrText xml:space="preserve">○</w:instrText>
      </w:r>
      <w:r>
        <w:rPr>
          <w:rFonts w:ascii="仿宋_GB2312" w:eastAsia="仿宋_GB2312" w:cs="仿宋_GB2312"/>
          <w:sz w:val="18"/>
          <w:szCs w:val="18"/>
        </w:rPr>
        <w:instrText xml:space="preserve">,6)</w:instrText>
      </w:r>
      <w:r>
        <w:rPr>
          <w:rFonts w:ascii="仿宋_GB2312" w:eastAsia="仿宋_GB2312" w:cs="仿宋_GB2312"/>
          <w:sz w:val="18"/>
          <w:szCs w:val="18"/>
        </w:rPr>
        <w:fldChar w:fldCharType="end"/>
      </w:r>
      <w:r>
        <w:rPr>
          <w:rFonts w:hint="eastAsia" w:ascii="仿宋_GB2312" w:eastAsia="仿宋_GB2312" w:cs="仿宋_GB2312"/>
          <w:sz w:val="18"/>
          <w:szCs w:val="18"/>
        </w:rPr>
        <w:t>本表只适用于基础制造以外的领域。</w:t>
      </w:r>
    </w:p>
    <w:sectPr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ins w:id="1" w:author="贺建质" w:date="2020-11-09T09:29:38Z">
      <w:r>
        <w:rPr>
          <w:sz w:val="18"/>
        </w:rPr>
        <w:pict>
  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 inset="0mm,0mm,0mm,0mm" style="mso-fit-shape-to-text:t;">
              <w:txbxContent>
                <w:p>
                  <w:pPr>
                    <w:pStyle w:val="3"/>
                    <w:rPr>
                      <w:rFonts w:hint="eastAsia" w:asciiTheme="majorEastAsia" w:hAnsiTheme="majorEastAsia" w:eastAsiaTheme="majorEastAsia" w:cstheme="majorEastAsia"/>
                      <w:sz w:val="28"/>
                      <w:szCs w:val="28"/>
                      <w:lang w:eastAsia="zh-CN"/>
                      <w:rPrChange w:id="3" w:author="贺建质" w:date="2020-11-09T09:30:14Z">
                        <w:rPr>
                          <w:rFonts w:hint="eastAsia" w:eastAsia="等线"/>
                          <w:lang w:eastAsia="zh-CN"/>
                        </w:rPr>
                      </w:rPrChange>
                    </w:rPr>
                  </w:pPr>
                  <w:ins w:id="4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5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— </w:t>
                    </w:r>
                  </w:ins>
                  <w:ins w:id="7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8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begin"/>
                    </w:r>
                  </w:ins>
                  <w:ins w:id="10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1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instrText xml:space="preserve"> PAGE  \* MERGEFORMAT </w:instrText>
                    </w:r>
                  </w:ins>
                  <w:ins w:id="13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4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separate"/>
                    </w:r>
                  </w:ins>
                  <w:ins w:id="16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7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>6</w:t>
                    </w:r>
                  </w:ins>
                  <w:ins w:id="19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20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end"/>
                    </w:r>
                  </w:ins>
                  <w:ins w:id="22" w:author="贺建质" w:date="2020-11-09T09:30:03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23" w:author="贺建质" w:date="2020-11-09T09:30:14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 —</w:t>
                    </w:r>
                  </w:ins>
                </w:p>
              </w:txbxContent>
            </v:textbox>
          </v:shape>
        </w:pict>
      </w:r>
    </w:ins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pPrChange w:id="0" w:author="贺建质" w:date="2020-11-09T09:29:54Z">
        <w:pPr>
          <w:pStyle w:val="4"/>
        </w:pPr>
      </w:pPrChange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贺建质">
    <w15:presenceInfo w15:providerId="None" w15:userId="贺建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2B77C8F"/>
    <w:rsid w:val="5D2B4D52"/>
    <w:rsid w:val="69D452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auto"/>
      <w:u w:val="single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6"/>
    <w:link w:val="4"/>
    <w:locked/>
    <w:uiPriority w:val="99"/>
    <w:rPr>
      <w:sz w:val="18"/>
      <w:szCs w:val="18"/>
    </w:rPr>
  </w:style>
  <w:style w:type="character" w:customStyle="1" w:styleId="10">
    <w:name w:val="Footer Char"/>
    <w:basedOn w:val="6"/>
    <w:link w:val="3"/>
    <w:locked/>
    <w:uiPriority w:val="99"/>
    <w:rPr>
      <w:sz w:val="18"/>
      <w:szCs w:val="18"/>
    </w:rPr>
  </w:style>
  <w:style w:type="character" w:customStyle="1" w:styleId="11">
    <w:name w:val="Balloon Text Char"/>
    <w:basedOn w:val="6"/>
    <w:link w:val="2"/>
    <w:semiHidden/>
    <w:locked/>
    <w:uiPriority w:val="99"/>
    <w:rPr>
      <w:sz w:val="18"/>
      <w:szCs w:val="18"/>
    </w:rPr>
  </w:style>
  <w:style w:type="character" w:customStyle="1" w:styleId="12">
    <w:name w:val="Unresolved Mention"/>
    <w:basedOn w:val="6"/>
    <w:semiHidden/>
    <w:uiPriority w:val="99"/>
    <w:rPr>
      <w:color w:val="auto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4</Pages>
  <Words>365</Words>
  <Characters>2081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2020-03-12T09:45:00Z</dcterms:created>
  <dc:creator>仁志</dc:creator>
  <cp:lastModifiedBy>贺建质</cp:lastModifiedBy>
  <cp:lastPrinted>2020-11-09T01:30:26Z</cp:lastPrinted>
  <dcterms:modified xsi:type="dcterms:W3CDTF">2020-11-09T01:30:27Z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